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72.png" ContentType="image/png"/>
  <Override PartName="/word/media/rId109.png" ContentType="image/png"/>
  <Override PartName="/word/media/rId97.png" ContentType="image/png"/>
  <Override PartName="/word/media/rId32.png" ContentType="image/png"/>
  <Override PartName="/word/media/rId84.png" ContentType="image/png"/>
  <Override PartName="/word/media/rId87.png" ContentType="image/png"/>
  <Override PartName="/word/media/rId81.png" ContentType="image/png"/>
  <Override PartName="/word/media/rId78.png" ContentType="image/png"/>
  <Override PartName="/word/media/rId75.png" ContentType="image/png"/>
  <Override PartName="/word/media/rId39.png" ContentType="image/png"/>
  <Override PartName="/word/media/rId42.png" ContentType="image/png"/>
  <Override PartName="/word/media/rId25.png" ContentType="image/png"/>
  <Override PartName="/word/media/rId90.png" ContentType="image/png"/>
  <Override PartName="/word/media/rId66.png" ContentType="image/png"/>
  <Override PartName="/word/media/rId22.png" ContentType="image/png"/>
  <Override PartName="/word/media/rId93.png" ContentType="image/png"/>
  <Override PartName="/word/media/rId69.png" ContentType="image/png"/>
  <Override PartName="/word/media/rId102.png" ContentType="image/png"/>
  <Override PartName="/word/media/rId46.png" ContentType="image/png"/>
  <Override PartName="/word/media/rId28.png" ContentType="image/png"/>
  <Override PartName="/word/media/rId59.png" ContentType="image/png"/>
  <Override PartName="/word/media/rId35.png" ContentType="image/png"/>
  <Override PartName="/word/media/rId54.png" ContentType="image/png"/>
  <Override PartName="/word/media/rId50.png" ContentType="image/png"/>
  <Override PartName="/word/media/rId63.png" ContentType="image/png"/>
  <Override PartName="/word/media/rId10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29"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María José Zúñiga, Margarita Rincón, Fernando Ramos</w:t>
      </w:r>
    </w:p>
    <w:bookmarkStart w:id="21" w:name="assessment-model"/>
    <w:p>
      <w:pPr>
        <w:pStyle w:val="Heading2"/>
      </w:pPr>
      <w:r>
        <w:t xml:space="preserve">Assessment model</w:t>
      </w:r>
    </w:p>
    <w:p>
      <w:pPr>
        <w:pStyle w:val="FirstParagraph"/>
      </w:pPr>
      <w:r>
        <w:t xml:space="preserve">The assessment of the anchovy in ICES division 9a, southern component was performed in Stock Synthesis software, version 3.30.22.1</w:t>
      </w:r>
      <w:r>
        <w:t xml:space="preserve"> </w:t>
      </w:r>
      <w:r>
        <w:t xml:space="preserve">(SS3, Methot</w:t>
      </w:r>
      <w:r>
        <w:t xml:space="preserve"> </w:t>
      </w:r>
      <w:r>
        <w:rPr>
          <w:iCs/>
          <w:i/>
        </w:rPr>
        <w:t xml:space="preserve">et al.</w:t>
      </w:r>
      <w:r>
        <w:t xml:space="preserve">, 2024)</w:t>
      </w:r>
      <w:r>
        <w:t xml:space="preserve"> </w:t>
      </w:r>
      <w:r>
        <w:t xml:space="preserve">under the Linux platform. SS3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differentiation (www.admb-project.org) and available at the NOAA Fisheries integrated toolbox:</w:t>
      </w:r>
      <w:r>
        <w:t xml:space="preserve"> </w:t>
      </w:r>
      <w:hyperlink r:id="rId20">
        <w:r>
          <w:rPr>
            <w:rStyle w:val="InternetLink"/>
          </w:rPr>
          <w:t xml:space="preserve">https://noaa-fisheries-integrated-toolbox.github.io/SS3</w:t>
        </w:r>
      </w:hyperlink>
      <w:r>
        <w:t xml:space="preserve">. A description and discussion of the model can be found in</w:t>
      </w:r>
      <w:r>
        <w:t xml:space="preserve"> </w:t>
      </w:r>
      <w:r>
        <w:t xml:space="preserve">Methot and Wetzel (2013)</w:t>
      </w:r>
      <w:r>
        <w:t xml:space="preserve">.</w:t>
      </w:r>
    </w:p>
    <w:p>
      <w:pPr>
        <w:pStyle w:val="TextBody"/>
      </w:pPr>
      <w:r>
        <w:t xml:space="preserve">The stock assessment has been performed for the period 1989-2023. The assessment model is a one area, annual with data in quarters, age-based model where the population is comprised of 3+ age-classes (with age 3 representing a plus group) with sexes combined (male and females are modeled together).</w:t>
      </w:r>
    </w:p>
    <w:bookmarkEnd w:id="21"/>
    <w:bookmarkStart w:id="58" w:name="data"/>
    <w:p>
      <w:pPr>
        <w:pStyle w:val="Heading2"/>
      </w:pPr>
      <w:r>
        <w:t xml:space="preserve">Data</w:t>
      </w:r>
    </w:p>
    <w:p>
      <w:pPr>
        <w:pStyle w:val="FirstParagraph"/>
      </w:pPr>
      <w:r>
        <w:t xml:space="preserve">Input data include total catch (in biomass), age composition of the catch (in proportion), abundance (in biomass) and age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fig_input_data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drawing>
          <wp:inline>
            <wp:extent cx="5359400" cy="2977444"/>
            <wp:effectExtent b="0" l="0" r="0" t="0"/>
            <wp:docPr descr="" title="" id="23" name="Picture"/>
            <a:graphic>
              <a:graphicData uri="http://schemas.openxmlformats.org/drawingml/2006/picture">
                <pic:pic>
                  <pic:nvPicPr>
                    <pic:cNvPr descr="report/run/S1/fig_input_data.png" id="24" name="Picture"/>
                    <pic:cNvPicPr>
                      <a:picLocks noChangeArrowheads="1" noChangeAspect="1"/>
                    </pic:cNvPicPr>
                  </pic:nvPicPr>
                  <pic:blipFill>
                    <a:blip r:embed="rId22"/>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3f7541bd-d7a3-48ca-a5cc-f5298f991fda"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f7541bd-d7a3-48ca-a5cc-f5298f991fda"/>
      <w:r>
        <w:t xml:space="preserve">: ane.27.9a stock. Summarises data input by year, where circle area is relative within a data type. Circles are proportional to total catch for catches, to precision for indices and to total sample size for age compositions.</w:t>
      </w:r>
    </w:p>
    <w:bookmarkStart w:id="31" w:name="catches"/>
    <w:p>
      <w:pPr>
        <w:pStyle w:val="Heading3"/>
      </w:pPr>
      <w:r>
        <w:t xml:space="preserve">Catches</w:t>
      </w:r>
    </w:p>
    <w:p>
      <w:pPr>
        <w:pStyle w:val="FirstParagraph"/>
      </w:pPr>
      <w:r>
        <w:t xml:space="preserve">Anchovy catches in the Gulf of Cádiz exhibit seasonality, with 40.61% concentrated in the second quarter (Q2), averaging 2120.26 tons historically, followed by the third quarter (Q3) with 29.60% (1545.23 tons), the first quarter (Q1) with 19.39% (1012.42 tons), and the fourth quarter (Q4) with 10.39% (542.61 tons). In 2023, first-quarter catches were 7.84% lower than the historical average, while second, third, and fourth-quarter catches increased by 71.03%, 48.06%, and 14.70%, respectively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fig_catches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and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tb_catches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349624"/>
            <wp:effectExtent b="0" l="0" r="0" t="0"/>
            <wp:docPr descr="" title="" id="26" name="Picture"/>
            <a:graphic>
              <a:graphicData uri="http://schemas.openxmlformats.org/drawingml/2006/picture">
                <pic:pic>
                  <pic:nvPicPr>
                    <pic:cNvPr descr="report/run/S1/fig_catches.png" id="27" name="Picture"/>
                    <pic:cNvPicPr>
                      <a:picLocks noChangeArrowheads="1" noChangeAspect="1"/>
                    </pic:cNvPicPr>
                  </pic:nvPicPr>
                  <pic:blipFill>
                    <a:blip r:embed="rId25"/>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f666f19d-cce1-4882-8b98-027ce62c4df2"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666f19d-cce1-4882-8b98-027ce62c4df2"/>
      <w:r>
        <w:t xml:space="preserve">: ane.27.9a stock. Quarterly Catch.</w:t>
      </w:r>
    </w:p>
    <w:p>
      <w:r>
        <w:br w:type="page"/>
      </w:r>
    </w:p>
    <w:p>
      <w:pPr>
        <w:pStyle w:val="TextBody"/>
      </w:pPr>
      <w:r>
        <w:t xml:space="preserve">Table</w:t>
      </w:r>
      <w:r>
        <w:t xml:space="preserve"> </w:t>
      </w:r>
      <w:bookmarkStart w:id="df8c8b89-8efb-4357-82bb-0c888d58f83e"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f8c8b89-8efb-4357-82bb-0c888d58f83e"/>
      <w:r>
        <w:t xml:space="preserve">: ane.27.9a stock. Quarterly Catch.</w:t>
      </w:r>
    </w:p>
    <w:p>
      <w:pPr>
        <w:pStyle w:val="TextBody"/>
      </w:pPr>
      <w:r>
        <w:drawing>
          <wp:inline>
            <wp:extent cx="3404876" cy="7797672"/>
            <wp:effectExtent b="0" l="0" r="0" t="0"/>
            <wp:docPr descr="" title="" id="29" name="Picture"/>
            <a:graphic>
              <a:graphicData uri="http://schemas.openxmlformats.org/drawingml/2006/picture">
                <pic:pic>
                  <pic:nvPicPr>
                    <pic:cNvPr descr="report/run/S1/tb_catches.png" id="30" name="Picture"/>
                    <pic:cNvPicPr>
                      <a:picLocks noChangeArrowheads="1" noChangeAspect="1"/>
                    </pic:cNvPicPr>
                  </pic:nvPicPr>
                  <pic:blipFill>
                    <a:blip r:embed="rId28"/>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31"/>
    <w:bookmarkStart w:id="38" w:name="abundance-indices"/>
    <w:p>
      <w:pPr>
        <w:pStyle w:val="Heading3"/>
      </w:pPr>
      <w:r>
        <w:t xml:space="preserve">Abundance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t>
      </w:r>
      <w:r>
        <w:t xml:space="preserve">exhibit interannual variability over time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index9_standcpueall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ECOCADIZ-RECLUTAS</w:t>
      </w:r>
      <w:r>
        <w:t xml:space="preserve">, recorded from 2014 to 2023, shows a sustained increase until 2019 at 48,398 tons, followed by a decrease to 8,300 tons in 2023. These patterns reflect a high variability in abundance over time with changes, with periods of increase followed by declines in the later years of each series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tb_index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349624"/>
            <wp:effectExtent b="0" l="0" r="0" t="0"/>
            <wp:docPr descr="" title="" id="33" name="Picture"/>
            <a:graphic>
              <a:graphicData uri="http://schemas.openxmlformats.org/drawingml/2006/picture">
                <pic:pic>
                  <pic:nvPicPr>
                    <pic:cNvPr descr="report/run/S1//fig_indiceBiomass.png" id="34" name="Picture"/>
                    <pic:cNvPicPr>
                      <a:picLocks noChangeArrowheads="1" noChangeAspect="1"/>
                    </pic:cNvPicPr>
                  </pic:nvPicPr>
                  <pic:blipFill>
                    <a:blip r:embed="rId32"/>
                    <a:stretch>
                      <a:fillRect/>
                    </a:stretch>
                  </pic:blipFill>
                  <pic:spPr bwMode="auto">
                    <a:xfrm>
                      <a:off x="0" y="0"/>
                      <a:ext cx="5359400" cy="3349624"/>
                    </a:xfrm>
                    <a:prstGeom prst="rect">
                      <a:avLst/>
                    </a:prstGeom>
                    <a:noFill/>
                    <a:ln w="9525">
                      <a:noFill/>
                      <a:headEnd/>
                      <a:tailEnd/>
                    </a:ln>
                  </pic:spPr>
                </pic:pic>
              </a:graphicData>
            </a:graphic>
          </wp:inline>
        </w:drawing>
      </w:r>
    </w:p>
    <w:p>
      <w:pPr>
        <w:pStyle w:val="TextBody"/>
      </w:pPr>
      <w:r>
        <w:t xml:space="preserve">Figure</w:t>
      </w:r>
      <w:r>
        <w:t xml:space="preserve"> </w:t>
      </w:r>
      <w:bookmarkStart w:id="3bf32959-3b04-4e3b-8566-37a45d259692"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bf32959-3b04-4e3b-8566-37a45d259692"/>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t>
      </w:r>
      <w:r>
        <w:t xml:space="preserve">surveys.</w:t>
      </w:r>
    </w:p>
    <w:p>
      <w:r>
        <w:br w:type="page"/>
      </w:r>
    </w:p>
    <w:p>
      <w:pPr>
        <w:pStyle w:val="TextBody"/>
      </w:pPr>
      <w:r>
        <w:t xml:space="preserve">Table</w:t>
      </w:r>
      <w:r>
        <w:t xml:space="preserve"> </w:t>
      </w:r>
      <w:bookmarkStart w:id="b61e65c2-da5b-43f8-b0f7-71d135b15b1c"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61e65c2-da5b-43f8-b0f7-71d135b15b1c"/>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w:t>
      </w:r>
    </w:p>
    <w:p>
      <w:pPr>
        <w:pStyle w:val="TextBody"/>
      </w:pPr>
      <w:r>
        <w:drawing>
          <wp:inline>
            <wp:extent cx="5359400" cy="5552118"/>
            <wp:effectExtent b="0" l="0" r="0" t="0"/>
            <wp:docPr descr="" title="" id="36" name="Picture"/>
            <a:graphic>
              <a:graphicData uri="http://schemas.openxmlformats.org/drawingml/2006/picture">
                <pic:pic>
                  <pic:nvPicPr>
                    <pic:cNvPr descr="report/run/S1/tb_index.png" id="37" name="Picture"/>
                    <pic:cNvPicPr>
                      <a:picLocks noChangeArrowheads="1" noChangeAspect="1"/>
                    </pic:cNvPicPr>
                  </pic:nvPicPr>
                  <pic:blipFill>
                    <a:blip r:embed="rId35"/>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8"/>
    <w:bookmarkStart w:id="45" w:name="age-composition"/>
    <w:p>
      <w:pPr>
        <w:pStyle w:val="Heading3"/>
      </w:pPr>
      <w:r>
        <w:t xml:space="preserve">Age composition</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fig_agecomp_by_quartersSeine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fig_agecomp_by_quartersSurveys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828142"/>
            <wp:effectExtent b="0" l="0" r="0" t="0"/>
            <wp:docPr descr="" title="" id="40" name="Picture"/>
            <a:graphic>
              <a:graphicData uri="http://schemas.openxmlformats.org/drawingml/2006/picture">
                <pic:pic>
                  <pic:nvPicPr>
                    <pic:cNvPr descr="report/run/S1/fig_agecomp_by_quartersSeine.png" id="41" name="Picture"/>
                    <pic:cNvPicPr>
                      <a:picLocks noChangeArrowheads="1" noChangeAspect="1"/>
                    </pic:cNvPicPr>
                  </pic:nvPicPr>
                  <pic:blipFill>
                    <a:blip r:embed="rId39"/>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d9ed9df5-0426-4654-bbaf-15a31d6f9cab"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9ed9df5-0426-4654-bbaf-15a31d6f9cab"/>
      <w:r>
        <w:t xml:space="preserve">: ane.27.9a stock. Age proportion of the commercial fleet (</w:t>
      </w:r>
      <w:r>
        <w:rPr>
          <w:iCs/>
          <w:i/>
        </w:rPr>
        <w:t xml:space="preserve">SEINE</w:t>
      </w:r>
      <w:r>
        <w:t xml:space="preserve">) by quarter and year (1989 to 2023).</w:t>
      </w:r>
    </w:p>
    <w:p>
      <w:r>
        <w:br w:type="page"/>
      </w:r>
    </w:p>
    <w:p>
      <w:pPr>
        <w:pStyle w:val="TextBody"/>
      </w:pPr>
      <w:r>
        <w:drawing>
          <wp:inline>
            <wp:extent cx="4587290" cy="4587290"/>
            <wp:effectExtent b="0" l="0" r="0" t="0"/>
            <wp:docPr descr="" title="" id="43" name="Picture"/>
            <a:graphic>
              <a:graphicData uri="http://schemas.openxmlformats.org/drawingml/2006/picture">
                <pic:pic>
                  <pic:nvPicPr>
                    <pic:cNvPr descr="report/run/S1/fig_agecomp_by_quartersSurveys.png" id="44" name="Picture"/>
                    <pic:cNvPicPr>
                      <a:picLocks noChangeArrowheads="1" noChangeAspect="1"/>
                    </pic:cNvPicPr>
                  </pic:nvPicPr>
                  <pic:blipFill>
                    <a:blip r:embed="rId42"/>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67941823-d905-4361-958b-79a6ae955c7c"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7941823-d905-4361-958b-79a6ae955c7c"/>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5"/>
    <w:bookmarkStart w:id="49" w:name="weigth-at-age"/>
    <w:p>
      <w:pPr>
        <w:pStyle w:val="Heading3"/>
      </w:pPr>
      <w:r>
        <w:t xml:space="preserve">Weigth-at-age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fig_weight_by_quarters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presents the age-specific weight-at-age values at the start of each season, estimated from external data sources. The figure illustrates that mean weight differences between age groups remain consistent over time, with some variability observed across quarters. Individuals aged 3 show greater variability in mean weight compared to younger age groups. For further details, refer to the working document by XXX et al. (yearXXX).</w:t>
      </w:r>
    </w:p>
    <w:p>
      <w:pPr>
        <w:pStyle w:val="TextBody"/>
      </w:pPr>
      <w:r>
        <w:drawing>
          <wp:inline>
            <wp:extent cx="4587290" cy="4587290"/>
            <wp:effectExtent b="0" l="0" r="0" t="0"/>
            <wp:docPr descr="" title="" id="47" name="Picture"/>
            <a:graphic>
              <a:graphicData uri="http://schemas.openxmlformats.org/drawingml/2006/picture">
                <pic:pic>
                  <pic:nvPicPr>
                    <pic:cNvPr descr="report/run/S1/fig_weight_by_quarters.png" id="48" name="Picture"/>
                    <pic:cNvPicPr>
                      <a:picLocks noChangeArrowheads="1" noChangeAspect="1"/>
                    </pic:cNvPicPr>
                  </pic:nvPicPr>
                  <pic:blipFill>
                    <a:blip r:embed="rId46"/>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95cf8502-e0de-4cec-906a-0dc2474c049e"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5cf8502-e0de-4cec-906a-0dc2474c049e"/>
      <w:r>
        <w:t xml:space="preserve">: ane.27.9a stock. Weight at age by quarters.</w:t>
      </w:r>
    </w:p>
    <w:bookmarkEnd w:id="49"/>
    <w:bookmarkStart w:id="53" w:name="natural-mortality"/>
    <w:p>
      <w:pPr>
        <w:pStyle w:val="Heading3"/>
      </w:pPr>
      <w:r>
        <w:t xml:space="preserve">Natural mortality</w:t>
      </w:r>
    </w:p>
    <w:p>
      <w:pPr>
        <w:pStyle w:val="FirstParagraph"/>
      </w:pPr>
      <w:r>
        <w:t xml:space="preserve">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pStyle w:val="TextBody"/>
      </w:pPr>
      <w:r>
        <w:drawing>
          <wp:inline>
            <wp:extent cx="2881049" cy="592751"/>
            <wp:effectExtent b="0" l="0" r="0" t="0"/>
            <wp:docPr descr="" title="" id="51" name="Picture"/>
            <a:graphic>
              <a:graphicData uri="http://schemas.openxmlformats.org/drawingml/2006/picture">
                <pic:pic>
                  <pic:nvPicPr>
                    <pic:cNvPr descr="report/run/S1/tb_natM.png" id="52" name="Picture"/>
                    <pic:cNvPicPr>
                      <a:picLocks noChangeArrowheads="1" noChangeAspect="1"/>
                    </pic:cNvPicPr>
                  </pic:nvPicPr>
                  <pic:blipFill>
                    <a:blip r:embed="rId50"/>
                    <a:stretch>
                      <a:fillRect/>
                    </a:stretch>
                  </pic:blipFill>
                  <pic:spPr bwMode="auto">
                    <a:xfrm>
                      <a:off x="0" y="0"/>
                      <a:ext cx="2881049" cy="592751"/>
                    </a:xfrm>
                    <a:prstGeom prst="rect">
                      <a:avLst/>
                    </a:prstGeom>
                    <a:noFill/>
                    <a:ln w="9525">
                      <a:noFill/>
                      <a:headEnd/>
                      <a:tailEnd/>
                    </a:ln>
                  </pic:spPr>
                </pic:pic>
              </a:graphicData>
            </a:graphic>
          </wp:inline>
        </w:drawing>
      </w:r>
    </w:p>
    <w:bookmarkEnd w:id="53"/>
    <w:bookmarkStart w:id="57" w:name="maturity"/>
    <w:p>
      <w:pPr>
        <w:pStyle w:val="Heading3"/>
      </w:pPr>
      <w:r>
        <w:t xml:space="preserve">Maturity</w:t>
      </w:r>
    </w:p>
    <w:p>
      <w:pPr>
        <w:pStyle w:val="FirstParagraph"/>
      </w:pPr>
      <w:r>
        <w:t xml:space="preserve">Due to some inconsistencies in the maturity ogives not noticed during WKPELA 2018, we assume that all individuals with age 1 or higher (B1+), are mature i.e. these abundance estimates result equivalent to spawning stock biomass estimates. For further details, refer to the working document by</w:t>
      </w:r>
      <w:r>
        <w:t xml:space="preserve"> </w:t>
      </w:r>
      <w:r>
        <w:rPr>
          <w:bCs/>
          <w:b/>
        </w:rPr>
        <w:t xml:space="preserve">Rincón et al. (yearXXX)</w:t>
      </w:r>
      <w:r>
        <w:t xml:space="preserve">.</w:t>
      </w:r>
    </w:p>
    <w:p>
      <w:pPr>
        <w:pStyle w:val="TextBody"/>
      </w:pPr>
      <w:r>
        <w:drawing>
          <wp:inline>
            <wp:extent cx="2881049" cy="624916"/>
            <wp:effectExtent b="0" l="0" r="0" t="0"/>
            <wp:docPr descr="" title="" id="55" name="Picture"/>
            <a:graphic>
              <a:graphicData uri="http://schemas.openxmlformats.org/drawingml/2006/picture">
                <pic:pic>
                  <pic:nvPicPr>
                    <pic:cNvPr descr="report/run/S1/tb_maturity.png" id="56" name="Picture"/>
                    <pic:cNvPicPr>
                      <a:picLocks noChangeArrowheads="1" noChangeAspect="1"/>
                    </pic:cNvPicPr>
                  </pic:nvPicPr>
                  <pic:blipFill>
                    <a:blip r:embed="rId54"/>
                    <a:stretch>
                      <a:fillRect/>
                    </a:stretch>
                  </pic:blipFill>
                  <pic:spPr bwMode="auto">
                    <a:xfrm>
                      <a:off x="0" y="0"/>
                      <a:ext cx="2881049" cy="624916"/>
                    </a:xfrm>
                    <a:prstGeom prst="rect">
                      <a:avLst/>
                    </a:prstGeom>
                    <a:noFill/>
                    <a:ln w="9525">
                      <a:noFill/>
                      <a:headEnd/>
                      <a:tailEnd/>
                    </a:ln>
                  </pic:spPr>
                </pic:pic>
              </a:graphicData>
            </a:graphic>
          </wp:inline>
        </w:drawing>
      </w:r>
    </w:p>
    <w:bookmarkEnd w:id="57"/>
    <w:bookmarkEnd w:id="58"/>
    <w:bookmarkStart w:id="62" w:name="X534e535046bdcd36ca0a7fd8f8c232894886fd3"/>
    <w:p>
      <w:pPr>
        <w:pStyle w:val="Heading2"/>
      </w:pPr>
      <w:r>
        <w:t xml:space="preserve">Model assumptions and settings and parameter estimates</w:t>
      </w:r>
    </w:p>
    <w:p>
      <w:pPr>
        <w:pStyle w:val="FirstParagraph"/>
      </w:pPr>
      <w:r>
        <w:t xml:space="preserve">Natural mortality are age-specific input values and Weights-at-age are input values estimated from external data (Sections 4.3.3 to 4.3.5).</w:t>
      </w:r>
      <w:r>
        <w:t xml:space="preserve"> </w:t>
      </w:r>
      <w:r>
        <w:rPr>
          <w:bCs/>
          <w:b/>
        </w:rPr>
        <w:t xml:space="preserve">Maturity-at-age in the second quarter of the year (escenario spawning time). we assume that all individuals with age 1 or higher (B1+)</w:t>
      </w:r>
      <w:r>
        <w:t xml:space="preserve">.</w:t>
      </w:r>
    </w:p>
    <w:p>
      <w:pPr>
        <w:pStyle w:val="TextBody"/>
      </w:pPr>
      <w:r>
        <w:t xml:space="preserve">Growth is not modelled explicitly. Annual recruitments are parameters, defined as lognormal deviations from SCAA stock recruitment model, ignore steepness and standard deviation of log number of recruits was set to 0.6. Fishing mortality is applied as the hybrid method does a Pope´s approximation to provide initial values for iterative adjustment of the continuous F values to closely approximate the observed catch. Total catch biomass by year is assumed to be accurate and precise. The F values are tuned to match this catch.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p>
      <w:pPr>
        <w:pStyle w:val="TextBody"/>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Body"/>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Body"/>
      </w:pPr>
      <w:r>
        <w:t xml:space="preserve">The Francis method TA1.8</w:t>
      </w:r>
      <w:r>
        <w:t xml:space="preserve"> </w:t>
      </w:r>
      <w:r>
        <w:t xml:space="preserve">(Francis, 2011)</w:t>
      </w:r>
      <w:r>
        <w:t xml:space="preserve"> </w:t>
      </w:r>
      <w:r>
        <w:t xml:space="preserve">was selected for length data weighting in catches and surveys data. The initial population is calculated by estimating an initial equilibrium population modified by age composition data in the first year of the assessment</w:t>
      </w:r>
      <w:r>
        <w:t xml:space="preserve"> </w:t>
      </w:r>
      <w: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w:t>
      </w:r>
      <w:r>
        <w:t xml:space="preserve"> </w:t>
      </w:r>
      <w:r>
        <w:t xml:space="preserve">(Taylor</w:t>
      </w:r>
      <w:r>
        <w:t xml:space="preserve"> </w:t>
      </w:r>
      <w:r>
        <w:rPr>
          <w:iCs/>
          <w:i/>
        </w:rPr>
        <w:t xml:space="preserve">et al.</w:t>
      </w:r>
      <w:r>
        <w:t xml:space="preserve">, 2021)</w:t>
      </w:r>
      <w:r>
        <w:t xml:space="preserve"> </w:t>
      </w:r>
      <w:r>
        <w:t xml:space="preserve">and ss3diags version 1.10.2</w:t>
      </w:r>
      <w:r>
        <w:t xml:space="preserve"> </w:t>
      </w:r>
      <w:r>
        <w:t xml:space="preserve">(Carvalho</w:t>
      </w:r>
      <w:r>
        <w:t xml:space="preserve"> </w:t>
      </w:r>
      <w:r>
        <w:rPr>
          <w:iCs/>
          <w:i/>
        </w:rPr>
        <w:t xml:space="preserve">et al.</w:t>
      </w:r>
      <w:r>
        <w:t xml:space="preserve">, 2021)</w:t>
      </w:r>
      <w:r>
        <w:t xml:space="preserve"> </w:t>
      </w:r>
      <w:r>
        <w:t xml:space="preserve">were used to process and view model outputs. All analyses were conduction in R version 4.2.2.</w:t>
      </w:r>
      <w:r>
        <w:t xml:space="preserve"> </w:t>
      </w:r>
    </w:p>
    <w:p>
      <w:r>
        <w:br w:type="page"/>
      </w:r>
    </w:p>
    <w:p>
      <w:pPr>
        <w:pStyle w:val="TextBody"/>
      </w:pPr>
      <w:r>
        <w:t xml:space="preserve">A summary of the model key model assumptions and parameters for the Stock Synthesis is available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tb_dat_stru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Table</w:t>
      </w:r>
      <w:r>
        <w:t xml:space="preserve"> </w:t>
      </w:r>
      <w:bookmarkStart w:id="83028156-97ea-404b-803d-6012e4a37f9f" w:name="tb_dat_stru"/>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3028156-97ea-404b-803d-6012e4a37f9f"/>
      <w:r>
        <w:t xml:space="preserve">: ane.27.9a stock. Input data type, model assumptions and settings for the assessment with data series 1989-2023.</w:t>
      </w:r>
    </w:p>
    <w:p>
      <w:pPr>
        <w:pStyle w:val="TextBody"/>
      </w:pPr>
      <w:r>
        <w:drawing>
          <wp:inline>
            <wp:extent cx="5359400" cy="4371928"/>
            <wp:effectExtent b="0" l="0" r="0" t="0"/>
            <wp:docPr descr="" title="" id="60" name="Picture"/>
            <a:graphic>
              <a:graphicData uri="http://schemas.openxmlformats.org/drawingml/2006/picture">
                <pic:pic>
                  <pic:nvPicPr>
                    <pic:cNvPr descr="report/run/S1/tb_dat_stru.png" id="61" name="Picture"/>
                    <pic:cNvPicPr>
                      <a:picLocks noChangeArrowheads="1" noChangeAspect="1"/>
                    </pic:cNvPicPr>
                  </pic:nvPicPr>
                  <pic:blipFill>
                    <a:blip r:embed="rId59"/>
                    <a:stretch>
                      <a:fillRect/>
                    </a:stretch>
                  </pic:blipFill>
                  <pic:spPr bwMode="auto">
                    <a:xfrm>
                      <a:off x="0" y="0"/>
                      <a:ext cx="5359400" cy="4371928"/>
                    </a:xfrm>
                    <a:prstGeom prst="rect">
                      <a:avLst/>
                    </a:prstGeom>
                    <a:noFill/>
                    <a:ln w="9525">
                      <a:noFill/>
                      <a:headEnd/>
                      <a:tailEnd/>
                    </a:ln>
                  </pic:spPr>
                </pic:pic>
              </a:graphicData>
            </a:graphic>
          </wp:inline>
        </w:drawing>
      </w:r>
    </w:p>
    <w:p>
      <w:r>
        <w:br w:type="page"/>
      </w:r>
    </w:p>
    <w:bookmarkEnd w:id="62"/>
    <w:bookmarkStart w:id="101" w:name="diagnostic"/>
    <w:p>
      <w:pPr>
        <w:pStyle w:val="Heading2"/>
      </w:pPr>
      <w:r>
        <w:t xml:space="preserve">Diagnostic</w:t>
      </w:r>
    </w:p>
    <w:p>
      <w:pPr>
        <w:pStyle w:val="FirstParagraph"/>
      </w:pPr>
      <w:r>
        <w:t xml:space="preserve">The model successfully converged, as evidenced by the Hessian matrix being positive definite and the final gradient being relatively small, with a gradient value of 0.000055. The</w:t>
      </w:r>
      <w:r>
        <w:t xml:space="preserve"> </w:t>
      </w:r>
      <w:r>
        <w:t xml:space="preserve">“</w:t>
      </w:r>
      <w:r>
        <w:t xml:space="preserve">Status</w:t>
      </w:r>
      <w:r>
        <w:t xml:space="preserve">”</w:t>
      </w:r>
      <w:r>
        <w:t xml:space="preserve"> </w:t>
      </w:r>
      <w:r>
        <w:t xml:space="preserve">column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tb_params_est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initial model configuration has allowed for adequate optimization of the parameters. Additionally, the gradient for all parameters is relatively small. It is important to note that the bounds imposed on the initial parameters have not restricted the search for optimized values, as reflected in the</w:t>
      </w:r>
      <w:r>
        <w:t xml:space="preserve"> </w:t>
      </w:r>
      <w:r>
        <w:t xml:space="preserve">“</w:t>
      </w:r>
      <w:r>
        <w:t xml:space="preserve">Afterbound</w:t>
      </w:r>
      <w:r>
        <w:t xml:space="preserve">”</w:t>
      </w:r>
      <w:r>
        <w:t xml:space="preserve"> </w:t>
      </w:r>
      <w:r>
        <w:t xml:space="preserve">column.</w:t>
      </w:r>
    </w:p>
    <w:p>
      <w:pPr>
        <w:pStyle w:val="TextBody"/>
      </w:pPr>
      <w:r>
        <w:t xml:space="preserve">Table</w:t>
      </w:r>
      <w:r>
        <w:t xml:space="preserve"> </w:t>
      </w:r>
      <w:bookmarkStart w:id="e0c50715-4575-4d9b-bd95-07dfd7bf027f" w:name="tb_params_es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0c50715-4575-4d9b-bd95-07dfd7bf027f"/>
      <w:r>
        <w:t xml:space="preserve">: ane.27.9a stock. Parameters estimated by the initial base model.</w:t>
      </w:r>
    </w:p>
    <w:p>
      <w:pPr>
        <w:pStyle w:val="TextBody"/>
      </w:pPr>
      <w:r>
        <w:drawing>
          <wp:inline>
            <wp:extent cx="5359400" cy="1733079"/>
            <wp:effectExtent b="0" l="0" r="0" t="0"/>
            <wp:docPr descr="" title="" id="64" name="Picture"/>
            <a:graphic>
              <a:graphicData uri="http://schemas.openxmlformats.org/drawingml/2006/picture">
                <pic:pic>
                  <pic:nvPicPr>
                    <pic:cNvPr descr="report/run/S1/tb_params_est.png" id="65" name="Picture"/>
                    <pic:cNvPicPr>
                      <a:picLocks noChangeArrowheads="1" noChangeAspect="1"/>
                    </pic:cNvPicPr>
                  </pic:nvPicPr>
                  <pic:blipFill>
                    <a:blip r:embed="rId63"/>
                    <a:stretch>
                      <a:fillRect/>
                    </a:stretch>
                  </pic:blipFill>
                  <pic:spPr bwMode="auto">
                    <a:xfrm>
                      <a:off x="0" y="0"/>
                      <a:ext cx="5359400" cy="1733079"/>
                    </a:xfrm>
                    <a:prstGeom prst="rect">
                      <a:avLst/>
                    </a:prstGeom>
                    <a:noFill/>
                    <a:ln w="9525">
                      <a:noFill/>
                      <a:headEnd/>
                      <a:tailEnd/>
                    </a:ln>
                  </pic:spPr>
                </pic:pic>
              </a:graphicData>
            </a:graphic>
          </wp:inline>
        </w:drawing>
      </w:r>
    </w:p>
    <w:bookmarkStart w:id="96" w:name="model-fit-and-residuals"/>
    <w:p>
      <w:pPr>
        <w:pStyle w:val="Heading3"/>
      </w:pPr>
      <w:r>
        <w:t xml:space="preserve">Model fit and residuals</w:t>
      </w:r>
    </w:p>
    <w:p>
      <w:pPr>
        <w:pStyle w:val="FirstParagraph"/>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fig_indices_fit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abundance indices from the acoustic surveys exhibit a high level of variability, as reflected by the width of the assumed confidence intervals, with a maximum coefficient of variation of 30%. The model follows the overall trend of the indices, though it encounters some difficulties in accurately fitting the extreme biomass values, both the highest and lowest. However, it adequately reproduces the general trend of variability in biomass levels presented by the survey estimates.</w:t>
      </w:r>
    </w:p>
    <w:p>
      <w:pPr>
        <w:pStyle w:val="TextBody"/>
      </w:pPr>
      <w:r>
        <w:drawing>
          <wp:inline>
            <wp:extent cx="5359400" cy="5359400"/>
            <wp:effectExtent b="0" l="0" r="0" t="0"/>
            <wp:docPr descr="" title="" id="67" name="Picture"/>
            <a:graphic>
              <a:graphicData uri="http://schemas.openxmlformats.org/drawingml/2006/picture">
                <pic:pic>
                  <pic:nvPicPr>
                    <pic:cNvPr descr="report/run/S1/fig_indices_fit.png" id="68" name="Picture"/>
                    <pic:cNvPicPr>
                      <a:picLocks noChangeArrowheads="1" noChangeAspect="1"/>
                    </pic:cNvPicPr>
                  </pic:nvPicPr>
                  <pic:blipFill>
                    <a:blip r:embed="rId66"/>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a5c46b28-66d2-4a35-89d2-c54649ef9f7c"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5c46b28-66d2-4a35-89d2-c54649ef9f7c"/>
      <w:r>
        <w:t xml:space="preserve">: ane.27.9a stock. Model fit to the data (left panel) and observed versus expected values (right panel) of the indices from the acoustic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w:t>
      </w:r>
      <w:r>
        <w:t xml:space="preserve">and</w:t>
      </w:r>
      <w:r>
        <w:t xml:space="preserve"> </w:t>
      </w:r>
      <w:r>
        <w:rPr>
          <w:iCs/>
          <w:i/>
        </w:rPr>
        <w:t xml:space="preserve">ECOCADIZ-RECLUTAS</w:t>
      </w:r>
      <w:r>
        <w:t xml:space="preserve">. The lines indicate a 95% uncertainty interval around the index values based on the lognormal error model assumption.</w:t>
      </w:r>
    </w:p>
    <w:p>
      <w:r>
        <w:br w:type="page"/>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biomass indices are randomly distributed, with p-values greater than 0.05 (</w:t>
      </w:r>
      <w:r>
        <w:rPr>
          <w:iCs/>
          <w:i/>
        </w:rPr>
        <w:t xml:space="preserve">PELAGO</w:t>
      </w:r>
      <w:r>
        <w:t xml:space="preserve"> </w:t>
      </w:r>
      <w:r>
        <w:t xml:space="preserve">= 0.415,</w:t>
      </w:r>
      <w:r>
        <w:t xml:space="preserve"> </w:t>
      </w:r>
      <w:r>
        <w:rPr>
          <w:iCs/>
          <w:i/>
        </w:rPr>
        <w:t xml:space="preserve">ECOCADIZ</w:t>
      </w:r>
      <w:r>
        <w:t xml:space="preserve"> </w:t>
      </w:r>
      <w:r>
        <w:t xml:space="preserve">= 0.532,</w:t>
      </w:r>
      <w:r>
        <w:t xml:space="preserve"> </w:t>
      </w:r>
      <w:r>
        <w:rPr>
          <w:iCs/>
          <w:i/>
        </w:rPr>
        <w:t xml:space="preserve">BOCADEVA</w:t>
      </w:r>
      <w:r>
        <w:t xml:space="preserve"> </w:t>
      </w:r>
      <w:r>
        <w:t xml:space="preserve">= 0.888,</w:t>
      </w:r>
      <w:r>
        <w:t xml:space="preserve"> </w:t>
      </w:r>
      <w:r>
        <w:rPr>
          <w:iCs/>
          <w:i/>
        </w:rPr>
        <w:t xml:space="preserve">ECOCADIZ-RECLUTAS</w:t>
      </w:r>
      <w:r>
        <w:t xml:space="preserve"> </w:t>
      </w:r>
      <w:r>
        <w:t xml:space="preserve">= 0.374). The estimated root mean square error (RMSE) for the joint residual analysis is 40.9%.</w:t>
      </w:r>
    </w:p>
    <w:p>
      <w:pPr>
        <w:pStyle w:val="TextBody"/>
      </w:pPr>
      <w:r>
        <w:drawing>
          <wp:inline>
            <wp:extent cx="5359400" cy="5359400"/>
            <wp:effectExtent b="0" l="0" r="0" t="0"/>
            <wp:docPr descr="" title="" id="70" name="Picture"/>
            <a:graphic>
              <a:graphicData uri="http://schemas.openxmlformats.org/drawingml/2006/picture">
                <pic:pic>
                  <pic:nvPicPr>
                    <pic:cNvPr descr="report/run/S1/fig_runtest_residuals_indices.png" id="71" name="Picture"/>
                    <pic:cNvPicPr>
                      <a:picLocks noChangeArrowheads="1" noChangeAspect="1"/>
                    </pic:cNvPicPr>
                  </pic:nvPicPr>
                  <pic:blipFill>
                    <a:blip r:embed="rId69"/>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12a44edf-753f-4d0c-8984-4e92381a493d"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2a44edf-753f-4d0c-8984-4e92381a493d"/>
      <w:r>
        <w:t xml:space="preserve">: ane.27.9a stock. Run test plots for the fit of acoustic survey indices. Green shading indicates no evidence (p&gt;=0.05) and red shading indicates evidence (p&lt;0.05) for rejecting the hypothesis of a randomly distributed residual time series, respectively. The shaded area (green/red) spans three standard residual deviations on either side of zero, and red points outside the shading violate the three-sigma limit for that series. The boxplot of joint residuals indicates the median and quantiles in cases where residuals from multiple indices are available for a given year, with the solid black line showing a loess smoother. The root mean square errors (RMSE) are included in the top right corner of the boxplot.</w:t>
      </w:r>
    </w:p>
    <w:p>
      <w:r>
        <w:br w:type="page"/>
      </w:r>
    </w:p>
    <w:p>
      <w:pPr>
        <w:pStyle w:val="TextBody"/>
      </w:pPr>
      <w:r>
        <w:t xml:space="preserve">Figure</w:t>
      </w:r>
      <w:r>
        <w:t xml:space="preserve"> </w:t>
      </w:r>
      <w:bookmarkStart w:id="e6c2ac2f-72db-43ec-9ad9-7311e8ddf98b" w:name="fig_mean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6c2ac2f-72db-43ec-9ad9-7311e8ddf98b"/>
      <w:r>
        <w:t xml:space="preserve"> </w:t>
      </w:r>
      <w:r>
        <w:t xml:space="preserve">shows the observed mean age in the catch data from the commercial fleet (SEINE) and in the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with 95% confidence intervals, along with the mean age fitted by the assessment model (SS3, blue line). Overall, the model adequately captures the general trend of the observed data, where the mean age fluctuates between 0 and 1.5 years, with variations across the different data sources.</w:t>
      </w:r>
    </w:p>
    <w:p>
      <w:pPr>
        <w:pStyle w:val="TextBody"/>
      </w:pPr>
      <w:r>
        <w:t xml:space="preserve">In the case of the commercial fleet (</w:t>
      </w:r>
      <w:r>
        <w:rPr>
          <w:iCs/>
          <w:i/>
        </w:rPr>
        <w:t xml:space="preserve">SEINE</w:t>
      </w:r>
      <w:r>
        <w:t xml:space="preserve">), the model captures the observed fluctuations in the mean age, remaining around 1 year. For the</w:t>
      </w:r>
      <w:r>
        <w:t xml:space="preserve"> </w:t>
      </w:r>
      <w:r>
        <w:rPr>
          <w:iCs/>
          <w:i/>
        </w:rPr>
        <w:t xml:space="preserve">PELAGO</w:t>
      </w:r>
      <w:r>
        <w:t xml:space="preserve"> </w:t>
      </w:r>
      <w:r>
        <w:t xml:space="preserve">survey, the model follows the oscillation in the mean age, adjusting between 1 and 1.4 years, though it encounters some fitting issues in the later years of the series. In</w:t>
      </w:r>
      <w:r>
        <w:t xml:space="preserve"> </w:t>
      </w:r>
      <w:r>
        <w:rPr>
          <w:iCs/>
          <w:i/>
        </w:rPr>
        <w:t xml:space="preserve">ECOCADIZ</w:t>
      </w:r>
      <w:r>
        <w:t xml:space="preserve">, the observed trend shows a progressive decline in mean age, starting near 1.0 and dropping below 0.5 in recent years, with the model struggling to fit this trend. Finally, in</w:t>
      </w:r>
      <w:r>
        <w:t xml:space="preserve"> </w:t>
      </w:r>
      <w:r>
        <w:rPr>
          <w:iCs/>
          <w:i/>
        </w:rPr>
        <w:t xml:space="preserve">ECOCADIZ-RECLUTAS</w:t>
      </w:r>
      <w:r>
        <w:t xml:space="preserve">, the model fits well to an initial mean age below 0.5 years, increasing above 0.5 between 2016 and 2021, before decreasing again in the last two years of the series.</w:t>
      </w:r>
    </w:p>
    <w:p>
      <w:pPr>
        <w:pStyle w:val="TextBody"/>
      </w:pPr>
      <w:r>
        <w:drawing>
          <wp:inline>
            <wp:extent cx="4587290" cy="5504749"/>
            <wp:effectExtent b="0" l="0" r="0" t="0"/>
            <wp:docPr descr="" title="" id="73" name="Picture"/>
            <a:graphic>
              <a:graphicData uri="http://schemas.openxmlformats.org/drawingml/2006/picture">
                <pic:pic>
                  <pic:nvPicPr>
                    <pic:cNvPr descr="Report_SS3_quarter_with_age_data_files/figure-docx/unnamed-chunk-16-1.png" id="74" name="Picture"/>
                    <pic:cNvPicPr>
                      <a:picLocks noChangeArrowheads="1" noChangeAspect="1"/>
                    </pic:cNvPicPr>
                  </pic:nvPicPr>
                  <pic:blipFill>
                    <a:blip r:embed="rId72"/>
                    <a:stretch>
                      <a:fillRect/>
                    </a:stretch>
                  </pic:blipFill>
                  <pic:spPr bwMode="auto">
                    <a:xfrm>
                      <a:off x="0" y="0"/>
                      <a:ext cx="4587290" cy="5504749"/>
                    </a:xfrm>
                    <a:prstGeom prst="rect">
                      <a:avLst/>
                    </a:prstGeom>
                    <a:noFill/>
                    <a:ln w="9525">
                      <a:noFill/>
                      <a:headEnd/>
                      <a:tailEnd/>
                    </a:ln>
                  </pic:spPr>
                </pic:pic>
              </a:graphicData>
            </a:graphic>
          </wp:inline>
        </w:drawing>
      </w:r>
    </w:p>
    <w:p>
      <w:pPr>
        <w:pStyle w:val="TextBody"/>
      </w:pPr>
      <w:r>
        <w:t xml:space="preserve">Figure</w:t>
      </w:r>
      <w:r>
        <w:t xml:space="preserve"> </w:t>
      </w:r>
      <w:bookmarkStart w:id="b2e3cec8-a8c3-4b2d-838e-81c588e4e7b4" w:name="fig_mean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2e3cec8-a8c3-4b2d-838e-81c588e4e7b4"/>
      <w:r>
        <w:t xml:space="preserve">: Mean age for</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The blue line corresponds to the estimated mean age.</w:t>
      </w:r>
    </w:p>
    <w:p>
      <w:pPr>
        <w:pStyle w:val="TextBody"/>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fig_age_fit_agg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aggregated age compositions over time for different sources of catch:</w:t>
      </w:r>
      <w:r>
        <w:t xml:space="preserve"> </w:t>
      </w:r>
      <w:r>
        <w:rPr>
          <w:iCs/>
          <w:i/>
        </w:rPr>
        <w:t xml:space="preserve">SEINE</w:t>
      </w:r>
      <w:r>
        <w:t xml:space="preserve">,</w:t>
      </w:r>
      <w:r>
        <w:t xml:space="preserve"> </w:t>
      </w:r>
      <w:r>
        <w:rPr>
          <w:iCs/>
          <w:i/>
        </w:rPr>
        <w:t xml:space="preserve">ECOCADIZ</w:t>
      </w:r>
      <w:r>
        <w:t xml:space="preserve">,</w:t>
      </w:r>
      <w:r>
        <w:t xml:space="preserve"> </w:t>
      </w:r>
      <w:r>
        <w:rPr>
          <w:iCs/>
          <w:i/>
        </w:rPr>
        <w:t xml:space="preserve">PELAGO</w:t>
      </w:r>
      <w:r>
        <w:t xml:space="preserve">, and</w:t>
      </w:r>
      <w:r>
        <w:t xml:space="preserve"> </w:t>
      </w:r>
      <w:r>
        <w:rPr>
          <w:iCs/>
          <w:i/>
        </w:rPr>
        <w:t xml:space="preserve">ECORECLUTAS</w:t>
      </w:r>
      <w:r>
        <w:t xml:space="preserve">. Overall, a high proportion of young individuals (ages 0 and 1) is observed in both the commercial fleet catches and acoustic surveys, with a significant decline in the proportions of older age classes. The green lines represent the model fits, demonstrating an adequate fit, with the aggregated age compositions well reconstructed.</w:t>
      </w:r>
    </w:p>
    <w:p>
      <w:pPr>
        <w:pStyle w:val="TextBody"/>
      </w:pPr>
      <w:r>
        <w:drawing>
          <wp:inline>
            <wp:extent cx="5359400" cy="6029325"/>
            <wp:effectExtent b="0" l="0" r="0" t="0"/>
            <wp:docPr descr="" title="" id="76" name="Picture"/>
            <a:graphic>
              <a:graphicData uri="http://schemas.openxmlformats.org/drawingml/2006/picture">
                <pic:pic>
                  <pic:nvPicPr>
                    <pic:cNvPr descr="report/run/S1/fig_age_fit_agg.png" id="77" name="Picture"/>
                    <pic:cNvPicPr>
                      <a:picLocks noChangeArrowheads="1" noChangeAspect="1"/>
                    </pic:cNvPicPr>
                  </pic:nvPicPr>
                  <pic:blipFill>
                    <a:blip r:embed="rId75"/>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52780417-1862-4198-b402-75b0949626cc" w:name="fig_age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2780417-1862-4198-b402-75b0949626cc"/>
      <w:r>
        <w:t xml:space="preserve">: ane.27.9a stock. Model fit to the aggregated age composition data from the SEINE fishery, and the acoustic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The green line represents the model estimates, while the shaded gray area shows the observed data.</w:t>
      </w:r>
    </w:p>
    <w:p>
      <w:r>
        <w:br w:type="page"/>
      </w:r>
    </w:p>
    <w:p>
      <w:pPr>
        <w:pStyle w:val="TextBody"/>
      </w:pPr>
      <w:r>
        <w:t xml:space="preserve">Although the aggregated fits show an overall adequate result, some years exhibit variability in the age composition of the commercial fleet (SEINE) catches, leading to reduced precision in the fits for the fourth quarter, particularly in 1991, 1996, and 2012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fig_age_fit_Seine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This pattern is also evident in the annual data fits for the PELAGO survey, especially in the later years of the series (2020-2023), where there is a tendency to overestimate age 1 and underestimate age 2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fig_age_fit_Pelago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In the ECOCADIZ survey, there are difficulties in estimating ages 0 and 1, with a tendency to underestimate age 0 and overestimate age 1 from 2016 to 2023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fig_age_fit_Ecocadiz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In ECOCADIZ-RECLUTAS, a generally good fit is observed without a clear pattern of overestimation or underestimation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fig_age_fit_EcocadizRecl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These patterns are also reflected in the bubble plots of the residuals corresponding to the fit of these data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fig_comp_agefit_multi-fleet_comparison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4823460"/>
            <wp:effectExtent b="0" l="0" r="0" t="0"/>
            <wp:docPr descr="" title="" id="79" name="Picture"/>
            <a:graphic>
              <a:graphicData uri="http://schemas.openxmlformats.org/drawingml/2006/picture">
                <pic:pic>
                  <pic:nvPicPr>
                    <pic:cNvPr descr="report/run/S1/fig_age_fit_Seine.png" id="80" name="Picture"/>
                    <pic:cNvPicPr>
                      <a:picLocks noChangeArrowheads="1" noChangeAspect="1"/>
                    </pic:cNvPicPr>
                  </pic:nvPicPr>
                  <pic:blipFill>
                    <a:blip r:embed="rId78"/>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t xml:space="preserve">Figure</w:t>
      </w:r>
      <w:r>
        <w:t xml:space="preserve"> </w:t>
      </w:r>
      <w:bookmarkStart w:id="8dedfee4-6d7c-4cb5-b912-7e7d0fbe744d" w:name="fig_age_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dedfee4-6d7c-4cb5-b912-7e7d0fbe744d"/>
      <w:r>
        <w:t xml:space="preserve">: ane.27.9a stock. Model fit to the age composition data from the</w:t>
      </w:r>
      <w:r>
        <w:t xml:space="preserve"> </w:t>
      </w:r>
      <w:r>
        <w:rPr>
          <w:iCs/>
          <w:i/>
        </w:rPr>
        <w:t xml:space="preserve">SEINE</w:t>
      </w:r>
      <w:r>
        <w:t xml:space="preserve"> </w:t>
      </w:r>
      <w:r>
        <w:t xml:space="preserve">fishery, by year and quarter. The green line represents the model estimates, while the shaded gray area shows the observed data.</w:t>
      </w:r>
    </w:p>
    <w:p>
      <w:pPr>
        <w:pStyle w:val="TextBody"/>
      </w:pPr>
      <w:r>
        <w:drawing>
          <wp:inline>
            <wp:extent cx="5359400" cy="6029325"/>
            <wp:effectExtent b="0" l="0" r="0" t="0"/>
            <wp:docPr descr="" title="" id="82" name="Picture"/>
            <a:graphic>
              <a:graphicData uri="http://schemas.openxmlformats.org/drawingml/2006/picture">
                <pic:pic>
                  <pic:nvPicPr>
                    <pic:cNvPr descr="report/run/S1/fig_age_fit_Pelago.png" id="83" name="Picture"/>
                    <pic:cNvPicPr>
                      <a:picLocks noChangeArrowheads="1" noChangeAspect="1"/>
                    </pic:cNvPicPr>
                  </pic:nvPicPr>
                  <pic:blipFill>
                    <a:blip r:embed="rId81"/>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3b9eeae0-8344-4053-9904-d22980c86570" w:name="fig_age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b9eeae0-8344-4053-9904-d22980c86570"/>
      <w:r>
        <w:t xml:space="preserve">: ane.27.9a stock. Model fit to the age composition data from the</w:t>
      </w:r>
      <w:r>
        <w:t xml:space="preserve"> </w:t>
      </w:r>
      <w:r>
        <w:rPr>
          <w:iCs/>
          <w:i/>
        </w:rPr>
        <w:t xml:space="preserve">PELAGO</w:t>
      </w:r>
      <w:r>
        <w:t xml:space="preserve"> </w:t>
      </w:r>
      <w:r>
        <w:t xml:space="preserve">spring survey by year. The green line represents the model estimates, while the shaded gray area shows the observed data.</w:t>
      </w:r>
    </w:p>
    <w:p>
      <w:pPr>
        <w:pStyle w:val="TextBody"/>
      </w:pPr>
      <w:r>
        <w:drawing>
          <wp:inline>
            <wp:extent cx="5359400" cy="6029325"/>
            <wp:effectExtent b="0" l="0" r="0" t="0"/>
            <wp:docPr descr="" title="" id="85" name="Picture"/>
            <a:graphic>
              <a:graphicData uri="http://schemas.openxmlformats.org/drawingml/2006/picture">
                <pic:pic>
                  <pic:nvPicPr>
                    <pic:cNvPr descr="report/run/S1/fig_age_fit_Ecocadiz.png" id="86" name="Picture"/>
                    <pic:cNvPicPr>
                      <a:picLocks noChangeArrowheads="1" noChangeAspect="1"/>
                    </pic:cNvPicPr>
                  </pic:nvPicPr>
                  <pic:blipFill>
                    <a:blip r:embed="rId84"/>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8009db53-7f0a-40ef-b985-956414a7fc4c" w:name="fig_age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009db53-7f0a-40ef-b985-956414a7fc4c"/>
      <w:r>
        <w:t xml:space="preserve">: ane.27.9a stock. Model fit to the age composition data from the</w:t>
      </w:r>
      <w:r>
        <w:t xml:space="preserve"> </w:t>
      </w:r>
      <w:r>
        <w:rPr>
          <w:iCs/>
          <w:i/>
        </w:rPr>
        <w:t xml:space="preserve">ECOCADIZ</w:t>
      </w:r>
      <w:r>
        <w:t xml:space="preserve"> </w:t>
      </w:r>
      <w:r>
        <w:t xml:space="preserve">summer survey by year. The green line represents the model estimates, while the shaded gray area shows the observed data.</w:t>
      </w:r>
    </w:p>
    <w:p>
      <w:pPr>
        <w:pStyle w:val="TextBody"/>
      </w:pPr>
      <w:r>
        <w:drawing>
          <wp:inline>
            <wp:extent cx="5359400" cy="6029325"/>
            <wp:effectExtent b="0" l="0" r="0" t="0"/>
            <wp:docPr descr="" title="" id="88" name="Picture"/>
            <a:graphic>
              <a:graphicData uri="http://schemas.openxmlformats.org/drawingml/2006/picture">
                <pic:pic>
                  <pic:nvPicPr>
                    <pic:cNvPr descr="report/run/S1/fig_age_fit_EcocadizRecl.png" id="89" name="Picture"/>
                    <pic:cNvPicPr>
                      <a:picLocks noChangeArrowheads="1" noChangeAspect="1"/>
                    </pic:cNvPicPr>
                  </pic:nvPicPr>
                  <pic:blipFill>
                    <a:blip r:embed="rId87"/>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510829c5-27a6-4dac-ad1e-d925e6a1b234" w:name="fig_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10829c5-27a6-4dac-ad1e-d925e6a1b234"/>
      <w:r>
        <w:t xml:space="preserve">: ane.27.9a stock. Model fit to the age composition data from the</w:t>
      </w:r>
      <w:r>
        <w:t xml:space="preserve"> </w:t>
      </w:r>
      <w:r>
        <w:rPr>
          <w:iCs/>
          <w:i/>
        </w:rPr>
        <w:t xml:space="preserve">ECOCADIZ-RECLUTAS</w:t>
      </w:r>
      <w:r>
        <w:t xml:space="preserve"> </w:t>
      </w:r>
      <w:r>
        <w:t xml:space="preserve">fall survey by year. The green line represents the model estimates, while the shaded gray area shows the observed data.</w:t>
      </w:r>
    </w:p>
    <w:p>
      <w:pPr>
        <w:pStyle w:val="TextBody"/>
      </w:pPr>
      <w:r>
        <w:drawing>
          <wp:inline>
            <wp:extent cx="5359400" cy="5359400"/>
            <wp:effectExtent b="0" l="0" r="0" t="0"/>
            <wp:docPr descr="" title="" id="91" name="Picture"/>
            <a:graphic>
              <a:graphicData uri="http://schemas.openxmlformats.org/drawingml/2006/picture">
                <pic:pic>
                  <pic:nvPicPr>
                    <pic:cNvPr descr="report/run/S1/fig_comp_agefit_multi-fleet_comparison.png" id="92" name="Picture"/>
                    <pic:cNvPicPr>
                      <a:picLocks noChangeArrowheads="1" noChangeAspect="1"/>
                    </pic:cNvPicPr>
                  </pic:nvPicPr>
                  <pic:blipFill>
                    <a:blip r:embed="rId90"/>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82d68fb0-27d2-4451-8878-1baddbf1bb30" w:name="fig_comp_agefit_multi-fleet_comparison"/>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2d68fb0-27d2-4451-8878-1baddbf1bb30"/>
      <w:r>
        <w:t xml:space="preserve">: ane.27.9a stock. Pearson residuals, comparing across fleets. Closed bubbles are positive residuals (observed &gt; expected) and open negative residuals (observed &lt; expected).</w:t>
      </w:r>
    </w:p>
    <w:p>
      <w:r>
        <w:br w:type="page"/>
      </w:r>
    </w:p>
    <w:p>
      <w:pPr>
        <w:pStyle w:val="TextBody"/>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fig_runtest_residuals_age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age proportions are randomly distributed, with p-values greater than 0.05 in the case of the commercial fleet (</w:t>
      </w:r>
      <w:r>
        <w:rPr>
          <w:iCs/>
          <w:i/>
        </w:rPr>
        <w:t xml:space="preserve">SEINE</w:t>
      </w:r>
      <w:r>
        <w:t xml:space="preserve"> </w:t>
      </w:r>
      <w:r>
        <w:t xml:space="preserve">= 0.985) and the acoustic surveys (</w:t>
      </w:r>
      <w:r>
        <w:rPr>
          <w:iCs/>
          <w:i/>
        </w:rPr>
        <w:t xml:space="preserve">PELAGO</w:t>
      </w:r>
      <w:r>
        <w:t xml:space="preserve"> </w:t>
      </w:r>
      <w:r>
        <w:t xml:space="preserve">= 0.744,</w:t>
      </w:r>
      <w:r>
        <w:t xml:space="preserve"> </w:t>
      </w:r>
      <w:r>
        <w:rPr>
          <w:iCs/>
          <w:i/>
        </w:rPr>
        <w:t xml:space="preserve">ECOCADIZ-RECLUTAS</w:t>
      </w:r>
      <w:r>
        <w:t xml:space="preserve"> </w:t>
      </w:r>
      <w:r>
        <w:t xml:space="preserve">= 0.207). Some violations of the three-standard-deviation limit are observed for the commercial fleet (</w:t>
      </w:r>
      <w:r>
        <w:rPr>
          <w:iCs/>
          <w:i/>
        </w:rPr>
        <w:t xml:space="preserve">SEINE</w:t>
      </w:r>
      <w:r>
        <w:t xml:space="preserve">) during the fourth quarter of 1991, 1996, and 2012, as well as in the</w:t>
      </w:r>
      <w:r>
        <w:t xml:space="preserve"> </w:t>
      </w:r>
      <w:r>
        <w:rPr>
          <w:iCs/>
          <w:i/>
        </w:rPr>
        <w:t xml:space="preserve">PELAGO</w:t>
      </w:r>
      <w:r>
        <w:t xml:space="preserve"> </w:t>
      </w:r>
      <w:r>
        <w:t xml:space="preserve">survey in the last year of the series (2023). In the case of the</w:t>
      </w:r>
      <w:r>
        <w:t xml:space="preserve"> </w:t>
      </w:r>
      <w:r>
        <w:rPr>
          <w:iCs/>
          <w:i/>
        </w:rPr>
        <w:t xml:space="preserve">ECOCADIZ</w:t>
      </w:r>
      <w:r>
        <w:t xml:space="preserve"> </w:t>
      </w:r>
      <w:r>
        <w:t xml:space="preserve">survey, the residuals are not randomly distributed</w:t>
      </w:r>
      <w:r>
        <w:t xml:space="preserve"> </w:t>
      </w:r>
      <w:r>
        <w:rPr>
          <w:iCs/>
          <w:i/>
        </w:rPr>
        <w:t xml:space="preserve">ECOCADIZ</w:t>
      </w:r>
      <w:r>
        <w:t xml:space="preserve"> </w:t>
      </w:r>
      <w:r>
        <w:t xml:space="preserve">= 0.014, with several violations of the three-standard-deviation limit observed, primarily from 2018 to 2023. The estimated root mean square error (RMSE) for the joint residual analysis is 37.4%.</w:t>
      </w:r>
    </w:p>
    <w:p>
      <w:pPr>
        <w:pStyle w:val="TextBody"/>
      </w:pPr>
      <w:r>
        <w:drawing>
          <wp:inline>
            <wp:extent cx="5359400" cy="5359400"/>
            <wp:effectExtent b="0" l="0" r="0" t="0"/>
            <wp:docPr descr="" title="" id="94" name="Picture"/>
            <a:graphic>
              <a:graphicData uri="http://schemas.openxmlformats.org/drawingml/2006/picture">
                <pic:pic>
                  <pic:nvPicPr>
                    <pic:cNvPr descr="report/run/S1/fig_runtest_residuals_age.png" id="95" name="Picture"/>
                    <pic:cNvPicPr>
                      <a:picLocks noChangeArrowheads="1" noChangeAspect="1"/>
                    </pic:cNvPicPr>
                  </pic:nvPicPr>
                  <pic:blipFill>
                    <a:blip r:embed="rId93"/>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14503b98-2404-432b-8994-638608d06c97" w:name="fig_runtest_residuals_ag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4503b98-2404-432b-8994-638608d06c97"/>
      <w:r>
        <w:t xml:space="preserve">: ane.27.9a stock. a) Runs test results for fits to annual mean age estimates for the surveys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and the fishery (</w:t>
      </w:r>
      <w:r>
        <w:rPr>
          <w:iCs/>
          <w:i/>
        </w:rPr>
        <w:t xml:space="preserve">SEINE</w:t>
      </w:r>
      <w:r>
        <w:t xml:space="preserve">). Green shaded (green/red) area spans three residual standard deviations to either side from zero, and the red points outside of the shading violate the</w:t>
      </w:r>
      <w:r>
        <w:t xml:space="preserve"> </w:t>
      </w:r>
      <w:r>
        <w:t xml:space="preserve">‘</w:t>
      </w:r>
      <w:r>
        <w:t xml:space="preserve">three-sigma limit</w:t>
      </w:r>
      <w:r>
        <w:t xml:space="preserve">’</w:t>
      </w:r>
      <w:r>
        <w:t xml:space="preserve"> </w:t>
      </w:r>
      <w:r>
        <w:t xml:space="preserve">for that series. b) Joint residual plots for annual mean length estimates for surveys and fishery. Vertical lines with points show the residuals, and solid black lines show loess smoother through all residuals. Boxplot indicate the median and quantiles in cases where residuals from the multiple indices are available for any given year. Root-mean squared errors (RMSE) are included in the upper right-hand corner of each plot.</w:t>
      </w:r>
    </w:p>
    <w:p>
      <w:r>
        <w:br w:type="page"/>
      </w:r>
    </w:p>
    <w:bookmarkEnd w:id="96"/>
    <w:bookmarkStart w:id="100" w:name="retrospective"/>
    <w:p>
      <w:pPr>
        <w:pStyle w:val="Heading3"/>
      </w:pPr>
      <w:r>
        <w:t xml:space="preserve">Retrospective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Retro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a retrospective pattern in both spawning biomass and fishing mortality in the base model. The retrospective analysis of the assessment model reveals that, in terms of Mohn’s rho (mean of retrospective anomalies), the reduction in data leads to a pattern of underestimation in fishing mortality (rho = -0.1692369) and overestimation in spawning biomass (rho = 0.140914). These values the Mohn´s rho were inside the bounds of recommended values, according to the rule proposed by</w:t>
      </w:r>
      <w:r>
        <w:t xml:space="preserve"> </w:t>
      </w:r>
      <w:r>
        <w:t xml:space="preserve">Hurtado-Ferro</w:t>
      </w:r>
      <w:r>
        <w:t xml:space="preserve"> </w:t>
      </w:r>
      <w:r>
        <w:rPr>
          <w:iCs/>
          <w:i/>
        </w:rPr>
        <w:t xml:space="preserve">et al.</w:t>
      </w:r>
      <w:r>
        <w:t xml:space="preserve"> </w:t>
      </w:r>
      <w:r>
        <w:t xml:space="preserve">(2014)</w:t>
      </w:r>
      <w:r>
        <w:t xml:space="preserve">, which states that Mohn’s rho index values greater than 0.30 or less than -0.22 for short-lived species should be considered as indicators of concern when evaluating a retrospective pattern.</w:t>
      </w:r>
    </w:p>
    <w:p>
      <w:pPr>
        <w:pStyle w:val="TextBody"/>
      </w:pPr>
      <w:r>
        <w:drawing>
          <wp:inline>
            <wp:extent cx="4587290" cy="4587290"/>
            <wp:effectExtent b="0" l="0" r="0" t="0"/>
            <wp:docPr descr="" title="" id="98" name="Picture"/>
            <a:graphic>
              <a:graphicData uri="http://schemas.openxmlformats.org/drawingml/2006/picture">
                <pic:pic>
                  <pic:nvPicPr>
                    <pic:cNvPr descr="report/retro/S1/Retro.png" id="99" name="Picture"/>
                    <pic:cNvPicPr>
                      <a:picLocks noChangeArrowheads="1" noChangeAspect="1"/>
                    </pic:cNvPicPr>
                  </pic:nvPicPr>
                  <pic:blipFill>
                    <a:blip r:embed="rId97"/>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ef0ed5df-1945-46e4-b3c8-7e5881a2f88a"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f0ed5df-1945-46e4-b3c8-7e5881a2f88a"/>
      <w:r>
        <w:t xml:space="preserve">: ane.27.9a stock. Retrospective analysis of spawning stock biomass (SSB) and fishing mortality (F). Models conducted by re-fitting the reference model (Ref) after removing five years of observations, one year at a time sequentially. The retrospective results are shown the entire time series. Mohn’s rho statistic and the corresponding</w:t>
      </w:r>
      <w:r>
        <w:t xml:space="preserve"> </w:t>
      </w:r>
      <w:r>
        <w:t xml:space="preserve">‘</w:t>
      </w:r>
      <w:r>
        <w:t xml:space="preserve">hindcast rho</w:t>
      </w:r>
      <w:r>
        <w:t xml:space="preserve">’</w:t>
      </w:r>
      <w:r>
        <w:t xml:space="preserve"> </w:t>
      </w:r>
      <w:r>
        <w:t xml:space="preserve">values (in brackets) are printed at the top of the panels. One-year-ahead projections denoted by color-coded dashed lines with terminal points are shown for each model. Gray shaded areas are the 95% confidence intervals from the reference model.</w:t>
      </w:r>
    </w:p>
    <w:p>
      <w:r>
        <w:br w:type="page"/>
      </w:r>
    </w:p>
    <w:bookmarkEnd w:id="100"/>
    <w:bookmarkEnd w:id="101"/>
    <w:bookmarkStart w:id="108" w:name="time-series"/>
    <w:p>
      <w:pPr>
        <w:pStyle w:val="Heading2"/>
      </w:pPr>
      <w:r>
        <w:t xml:space="preserve">Time series</w:t>
      </w:r>
    </w:p>
    <w:p>
      <w:pPr>
        <w:pStyle w:val="FirstParagraph"/>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fig_time_series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biomass shows variability around the historical mean of 10 thousand tonnes, with a minimum in 2010 of 5.61 thousand tonnes and a maximum recorded in 2001 of 17.1 thousand tonnes. In 2023, the biomass is estimated to be 1% below the historical mean. The catch shows variability around the historical mean of 5.22 thousand tonnes, with a maximum value recorded in 1998 of 9.57 thousand tonnes and a minimum in 1995 of 0.57 thousand tonnes. In 2023, the catch is estimated to be 41% above the historical mean.</w:t>
      </w:r>
    </w:p>
    <w:p>
      <w:pPr>
        <w:pStyle w:val="TextBody"/>
      </w:pPr>
      <w:r>
        <w:t xml:space="preserve">The fishing mortality (</w:t>
      </w:r>
      <w:r>
        <w:rPr>
          <w:rStyle w:val="VerbatimChar"/>
        </w:rPr>
        <w:t xml:space="preserve">Ft</w:t>
      </w:r>
      <w:r>
        <w:t xml:space="preserve">) shows variability around the historical mean of 1.13, with a maximum value recorded in 2015 of 2.07 and a minimum in 1995 of 0.14. Confidence intervals range from 0.26 to 0.01, with an average of 0.14. In 2023, the</w:t>
      </w:r>
      <w:r>
        <w:t xml:space="preserve"> </w:t>
      </w:r>
      <w:r>
        <w:rPr>
          <w:rStyle w:val="VerbatimChar"/>
        </w:rPr>
        <w:t xml:space="preserve">Ft</w:t>
      </w:r>
      <w:r>
        <w:t xml:space="preserve"> </w:t>
      </w:r>
      <w:r>
        <w:t xml:space="preserve">is estimated to be 81% above the historical mean.</w:t>
      </w:r>
    </w:p>
    <w:p>
      <w:pPr>
        <w:pStyle w:val="TextBody"/>
      </w:pPr>
      <w:r>
        <w:t xml:space="preserve">The recruitment (</w:t>
      </w:r>
      <w:r>
        <w:rPr>
          <w:rStyle w:val="VerbatimChar"/>
        </w:rPr>
        <w:t xml:space="preserve">Rt</w:t>
      </w:r>
      <w:r>
        <w:t xml:space="preserve">) fluctuates around a historical mean of 4.5 millions recruits, with a maximum value recorded in 1997 of 7.72 millions recruits and a minimum in 2009 of 1.77 millions recruits. Confidence intervals range from 0.3 to 0.04, with an average of 0.12. In 2023, the</w:t>
      </w:r>
      <w:r>
        <w:t xml:space="preserve"> </w:t>
      </w:r>
      <w:r>
        <w:rPr>
          <w:rStyle w:val="VerbatimChar"/>
        </w:rPr>
        <w:t xml:space="preserve">Rt</w:t>
      </w:r>
      <w:r>
        <w:t xml:space="preserve"> </w:t>
      </w:r>
      <w:r>
        <w:t xml:space="preserve">is estimated to be 4% below the historical mean.</w:t>
      </w:r>
    </w:p>
    <w:p>
      <w:pPr>
        <w:pStyle w:val="TextBody"/>
      </w:pPr>
      <w:r>
        <w:t xml:space="preserve">Finally, the spawning biomass (SSB) varies around a historical mean of 7.97 thousand tonnes, with a maximum value recorded in 2001 of 15.01 thousand tonnes and a minimum in 2010 of 4.19 thousand tonnes. Confidence intervals range from 0.28 to 0.04, with an average of 0.12.In 2023, the</w:t>
      </w:r>
      <w:r>
        <w:t xml:space="preserve"> </w:t>
      </w:r>
      <w:r>
        <w:rPr>
          <w:rStyle w:val="VerbatimChar"/>
        </w:rPr>
        <w:t xml:space="preserve">SSB</w:t>
      </w:r>
      <w:r>
        <w:t xml:space="preserve"> </w:t>
      </w:r>
      <w:r>
        <w:t xml:space="preserve">is estimated to be 3% below the historical mean.</w:t>
      </w:r>
    </w:p>
    <w:p>
      <w:pPr>
        <w:pStyle w:val="TextBody"/>
      </w:pPr>
      <w:r>
        <w:t xml:space="preserve">The summarised results of the stock assessment are shown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tb_timeseries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4689474"/>
            <wp:effectExtent b="0" l="0" r="0" t="0"/>
            <wp:docPr descr="" title="" id="103" name="Picture"/>
            <a:graphic>
              <a:graphicData uri="http://schemas.openxmlformats.org/drawingml/2006/picture">
                <pic:pic>
                  <pic:nvPicPr>
                    <pic:cNvPr descr="report/run/S1/fig_time_series.png" id="104" name="Picture"/>
                    <pic:cNvPicPr>
                      <a:picLocks noChangeArrowheads="1" noChangeAspect="1"/>
                    </pic:cNvPicPr>
                  </pic:nvPicPr>
                  <pic:blipFill>
                    <a:blip r:embed="rId102"/>
                    <a:stretch>
                      <a:fillRect/>
                    </a:stretch>
                  </pic:blipFill>
                  <pic:spPr bwMode="auto">
                    <a:xfrm>
                      <a:off x="0" y="0"/>
                      <a:ext cx="5359400" cy="4689474"/>
                    </a:xfrm>
                    <a:prstGeom prst="rect">
                      <a:avLst/>
                    </a:prstGeom>
                    <a:noFill/>
                    <a:ln w="9525">
                      <a:noFill/>
                      <a:headEnd/>
                      <a:tailEnd/>
                    </a:ln>
                  </pic:spPr>
                </pic:pic>
              </a:graphicData>
            </a:graphic>
          </wp:inline>
        </w:drawing>
      </w:r>
    </w:p>
    <w:p>
      <w:pPr>
        <w:pStyle w:val="TextBody"/>
      </w:pPr>
      <w:r>
        <w:t xml:space="preserve">Figure</w:t>
      </w:r>
      <w:r>
        <w:t xml:space="preserve"> </w:t>
      </w:r>
      <w:bookmarkStart w:id="bac08a00-e5c5-44bd-9e0f-534ee6cb0e4f" w:name="fig_time_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ac08a00-e5c5-44bd-9e0f-534ee6cb0e4f"/>
      <w:r>
        <w:t xml:space="preserve">: ane.27.9a stock. Time series estimated by the model for annual catches (in tons), recruitment (millions of fish), total biomass and spawning biomass (in tons), and fishing mortality (year-1).</w:t>
      </w:r>
    </w:p>
    <w:p>
      <w:r>
        <w:br w:type="page"/>
      </w:r>
    </w:p>
    <w:p>
      <w:pPr>
        <w:pStyle w:val="TextBody"/>
      </w:pPr>
      <w:r>
        <w:t xml:space="preserve">Table</w:t>
      </w:r>
      <w:r>
        <w:t xml:space="preserve"> </w:t>
      </w:r>
      <w:bookmarkStart w:id="cc0e3413-febc-458c-8a90-cb647f9f7bbd" w:name="tb_time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c0e3413-febc-458c-8a90-cb647f9f7bbd"/>
      <w:r>
        <w:t xml:space="preserve">: ane.27.9a stock. Time series estimated by the model for annual catches (in tons), recruitment (millions of fish), total biomass and spawning biomass (in tons), and fishing mortality (year-1).</w:t>
      </w:r>
    </w:p>
    <w:p>
      <w:pPr>
        <w:pStyle w:val="TextBody"/>
      </w:pPr>
      <w:r>
        <w:drawing>
          <wp:inline>
            <wp:extent cx="5359400" cy="5721706"/>
            <wp:effectExtent b="0" l="0" r="0" t="0"/>
            <wp:docPr descr="" title="" id="106" name="Picture"/>
            <a:graphic>
              <a:graphicData uri="http://schemas.openxmlformats.org/drawingml/2006/picture">
                <pic:pic>
                  <pic:nvPicPr>
                    <pic:cNvPr descr="report/run/S1/tb_timeseries.png" id="107" name="Picture"/>
                    <pic:cNvPicPr>
                      <a:picLocks noChangeArrowheads="1" noChangeAspect="1"/>
                    </pic:cNvPicPr>
                  </pic:nvPicPr>
                  <pic:blipFill>
                    <a:blip r:embed="rId105"/>
                    <a:stretch>
                      <a:fillRect/>
                    </a:stretch>
                  </pic:blipFill>
                  <pic:spPr bwMode="auto">
                    <a:xfrm>
                      <a:off x="0" y="0"/>
                      <a:ext cx="5359400" cy="5721706"/>
                    </a:xfrm>
                    <a:prstGeom prst="rect">
                      <a:avLst/>
                    </a:prstGeom>
                    <a:noFill/>
                    <a:ln w="9525">
                      <a:noFill/>
                      <a:headEnd/>
                      <a:tailEnd/>
                    </a:ln>
                  </pic:spPr>
                </pic:pic>
              </a:graphicData>
            </a:graphic>
          </wp:inline>
        </w:drawing>
      </w:r>
    </w:p>
    <w:bookmarkEnd w:id="108"/>
    <w:bookmarkStart w:id="112" w:name="selectivity"/>
    <w:p>
      <w:pPr>
        <w:pStyle w:val="Heading2"/>
      </w:pPr>
      <w:r>
        <w:t xml:space="preserve">Selectivity</w:t>
      </w:r>
    </w:p>
    <w:p>
      <w:pPr>
        <w:pStyle w:val="FirstParagraph"/>
      </w:pPr>
      <w:r>
        <w:drawing>
          <wp:inline>
            <wp:extent cx="5359400" cy="3062514"/>
            <wp:effectExtent b="0" l="0" r="0" t="0"/>
            <wp:docPr descr="" title="" id="110" name="Picture"/>
            <a:graphic>
              <a:graphicData uri="http://schemas.openxmlformats.org/drawingml/2006/picture">
                <pic:pic>
                  <pic:nvPicPr>
                    <pic:cNvPr descr="Report_SS3_quarter_with_age_data_files/figure-docx/unnamed-chunk-27-1.png" id="111" name="Picture"/>
                    <pic:cNvPicPr>
                      <a:picLocks noChangeArrowheads="1" noChangeAspect="1"/>
                    </pic:cNvPicPr>
                  </pic:nvPicPr>
                  <pic:blipFill>
                    <a:blip r:embed="rId109"/>
                    <a:stretch>
                      <a:fillRect/>
                    </a:stretch>
                  </pic:blipFill>
                  <pic:spPr bwMode="auto">
                    <a:xfrm>
                      <a:off x="0" y="0"/>
                      <a:ext cx="5359400" cy="3062514"/>
                    </a:xfrm>
                    <a:prstGeom prst="rect">
                      <a:avLst/>
                    </a:prstGeom>
                    <a:noFill/>
                    <a:ln w="9525">
                      <a:noFill/>
                      <a:headEnd/>
                      <a:tailEnd/>
                    </a:ln>
                  </pic:spPr>
                </pic:pic>
              </a:graphicData>
            </a:graphic>
          </wp:inline>
        </w:drawing>
      </w:r>
    </w:p>
    <w:bookmarkEnd w:id="112"/>
    <w:bookmarkStart w:id="113" w:name="catchability"/>
    <w:p>
      <w:pPr>
        <w:pStyle w:val="Heading2"/>
      </w:pPr>
      <w:r>
        <w:t xml:space="preserve">Catchability</w:t>
      </w:r>
    </w:p>
    <w:p>
      <w:r>
        <w:br w:type="page"/>
      </w:r>
    </w:p>
    <w:bookmarkEnd w:id="113"/>
    <w:bookmarkStart w:id="114" w:name="funding"/>
    <w:p>
      <w:pPr>
        <w:pStyle w:val="Heading2"/>
      </w:pPr>
      <w:r>
        <w:t xml:space="preserve">Funding</w:t>
      </w:r>
    </w:p>
    <w:p>
      <w:pPr>
        <w:pStyle w:val="FirstParagraph"/>
      </w:pPr>
      <w:r>
        <w:t xml:space="preserve">The author(s) declare that financial support was received for the research, authorship of this document. This research has been developed in the framework of the Math4Fish project: New tools for mathematical modelling in Spanish fisheries scientific advice, financed by the European Union – NextGenerationEU, and the Recovery and Resilience Facility, Component 3, Investment 7 and has been carried out within the framework of the agreement between the Spanish Ministry of Agriculture, Fishing and Food and the Spanish National Research Council (CSIC) through the Spanish Institute of Oceanography (IEO) to promote fisheries research as a basis for sustainable fisheries management. Views and opinions expressed are however those of the author(s) only and do not necessarily reflect those of the European Union or European Commission. Neither the European Union nor the European Commission can be held responsible for them</w:t>
      </w:r>
    </w:p>
    <w:bookmarkEnd w:id="114"/>
    <w:bookmarkStart w:id="128" w:name="references"/>
    <w:p>
      <w:pPr>
        <w:pStyle w:val="Heading2"/>
      </w:pPr>
      <w:r>
        <w:t xml:space="preserve">References</w:t>
      </w:r>
    </w:p>
    <w:bookmarkStart w:id="127" w:name="refs"/>
    <w:bookmarkStart w:id="116" w:name="ref-Carvalho2021"/>
    <w:p>
      <w:pPr>
        <w:pStyle w:val="Bibliography"/>
      </w:pPr>
      <w:r>
        <w:t xml:space="preserve">Carvalho, F., Winker, H., Courtney, D., Kapur, M., Kell, L., Cardinale, M., Schirripa, M.,</w:t>
      </w:r>
      <w:r>
        <w:t xml:space="preserve"> </w:t>
      </w:r>
      <w:r>
        <w:rPr>
          <w:iCs/>
          <w:i/>
        </w:rPr>
        <w:t xml:space="preserve">et al.</w:t>
      </w:r>
      <w:r>
        <w:t xml:space="preserve"> 2021. A cookbook for using model diagnostics in integrated stock assessments. Fisheries Research, 240: 105959.</w:t>
      </w:r>
      <w:r>
        <w:t xml:space="preserve"> </w:t>
      </w:r>
      <w:hyperlink r:id="rId115">
        <w:r>
          <w:rPr>
            <w:rStyle w:val="InternetLink"/>
          </w:rPr>
          <w:t xml:space="preserve">https://www.sciencedirect.com/science/article/pii/S0165783621000874</w:t>
        </w:r>
      </w:hyperlink>
      <w:r>
        <w:t xml:space="preserve">.</w:t>
      </w:r>
    </w:p>
    <w:bookmarkEnd w:id="116"/>
    <w:bookmarkStart w:id="118" w:name="ref-Francis2011"/>
    <w:p>
      <w:pPr>
        <w:pStyle w:val="Bibliography"/>
      </w:pPr>
      <w:r>
        <w:t xml:space="preserve">Francis, R. I. C. C. 2011. Data weighting in statistical fisheries stock assessment models. Canadian Journal of Fisheries and Aquatic Sciences, 68: 1124–1138.</w:t>
      </w:r>
      <w:hyperlink r:id="rId117">
        <w:r>
          <w:rPr>
            <w:rStyle w:val="InternetLink"/>
          </w:rPr>
          <w:t xml:space="preserve"> </w:t>
        </w:r>
        <w:r>
          <w:rPr>
            <w:rStyle w:val="InternetLink"/>
          </w:rPr>
          <w:t xml:space="preserve">https://doi.org/10.1139/f2011-025</w:t>
        </w:r>
      </w:hyperlink>
      <w:r>
        <w:t xml:space="preserve">.</w:t>
      </w:r>
    </w:p>
    <w:bookmarkEnd w:id="118"/>
    <w:bookmarkStart w:id="120" w:name="ref-HurtadoFerro2014"/>
    <w:p>
      <w:pPr>
        <w:pStyle w:val="Bibliography"/>
      </w:pPr>
      <w:r>
        <w:t xml:space="preserve">Hurtado-Ferro, F., Szuwalski, C. S., Valero, J. L., Anderson, S. C., Cunningham, C. J., Johnson, K. F., Licandeo, R.,</w:t>
      </w:r>
      <w:r>
        <w:t xml:space="preserve"> </w:t>
      </w:r>
      <w:r>
        <w:rPr>
          <w:iCs/>
          <w:i/>
        </w:rPr>
        <w:t xml:space="preserve">et al.</w:t>
      </w:r>
      <w:r>
        <w:t xml:space="preserve"> 2014.</w:t>
      </w:r>
      <w:r>
        <w:t xml:space="preserve"> </w:t>
      </w:r>
      <w:r>
        <w:t xml:space="preserve">Looking in the rear-view mirror: bias and retrospective patterns in integrated, age-structured stock assessment models</w:t>
      </w:r>
      <w:r>
        <w:t xml:space="preserve">. ICES Journal of Marine Science, 72: 99–110.</w:t>
      </w:r>
      <w:r>
        <w:t xml:space="preserve"> </w:t>
      </w:r>
      <w:hyperlink r:id="rId119">
        <w:r>
          <w:rPr>
            <w:rStyle w:val="InternetLink"/>
          </w:rPr>
          <w:t xml:space="preserve">https://doi.org/10.1093/icesjms/fsu198</w:t>
        </w:r>
      </w:hyperlink>
      <w:r>
        <w:t xml:space="preserve">.</w:t>
      </w:r>
    </w:p>
    <w:bookmarkEnd w:id="120"/>
    <w:bookmarkStart w:id="122" w:name="ref-Methot2013"/>
    <w:p>
      <w:pPr>
        <w:pStyle w:val="Bibliography"/>
      </w:pPr>
      <w:r>
        <w:t xml:space="preserve">Methot, R. D., and Wetzel, C. R. 2013. Stock synthesis: A biological and statistical framework for fish stock assessment and fishery management. Fisheries Research, 142: 86–99.</w:t>
      </w:r>
      <w:r>
        <w:t xml:space="preserve"> </w:t>
      </w:r>
      <w:hyperlink r:id="rId121">
        <w:r>
          <w:rPr>
            <w:rStyle w:val="InternetLink"/>
          </w:rPr>
          <w:t xml:space="preserve">https://doi.org/10.1016/j.fishres.2012.10.012</w:t>
        </w:r>
      </w:hyperlink>
      <w:r>
        <w:t xml:space="preserve">.</w:t>
      </w:r>
    </w:p>
    <w:bookmarkEnd w:id="122"/>
    <w:bookmarkStart w:id="124" w:name="ref-Methot2024"/>
    <w:p>
      <w:pPr>
        <w:pStyle w:val="Bibliography"/>
      </w:pPr>
      <w:r>
        <w:t xml:space="preserve">Methot, R. D., Wetzel, C. R., Taylor, I. G., Doering, K., Perl, E., and K. Johnson. 2024. Stock synthesis user manual : Version 3.30.22.1.</w:t>
      </w:r>
      <w:r>
        <w:t xml:space="preserve"> </w:t>
      </w:r>
      <w:hyperlink r:id="rId123">
        <w:r>
          <w:rPr>
            <w:rStyle w:val="InternetLink"/>
          </w:rPr>
          <w:t xml:space="preserve">https://github.com/nmfs-ost/ss3-source-code/releases</w:t>
        </w:r>
      </w:hyperlink>
      <w:r>
        <w:t xml:space="preserve">.</w:t>
      </w:r>
    </w:p>
    <w:bookmarkEnd w:id="124"/>
    <w:bookmarkStart w:id="126" w:name="ref-Taylor2021"/>
    <w:p>
      <w:pPr>
        <w:pStyle w:val="Bibliography"/>
      </w:pPr>
      <w:r>
        <w:t xml:space="preserve">Taylor, I. G., Doering, K. L., Johnson, K. F., Wetzel, C. R., and Stewart, I. J. 2021. Beyond visualizing catch-at-age models: Lessons learned from the r4ss package about software to support stock assessments. Fisheries Research, 239: 105924.</w:t>
      </w:r>
      <w:r>
        <w:t xml:space="preserve"> </w:t>
      </w:r>
      <w:hyperlink r:id="rId125">
        <w:r>
          <w:rPr>
            <w:rStyle w:val="InternetLink"/>
          </w:rPr>
          <w:t xml:space="preserve">https://doi.org/10.1016/j.fishres.2021.105924</w:t>
        </w:r>
      </w:hyperlink>
      <w:r>
        <w:t xml:space="preserve">.</w:t>
      </w:r>
    </w:p>
    <w:bookmarkEnd w:id="126"/>
    <w:bookmarkEnd w:id="127"/>
    <w:bookmarkEnd w:id="128"/>
    <w:bookmarkEnd w:id="129"/>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97" Target="media/rId97.png" /><Relationship Type="http://schemas.openxmlformats.org/officeDocument/2006/relationships/image" Id="rId32" Target="media/rId32.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81" Target="media/rId81.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25" Target="media/rId25.png" /><Relationship Type="http://schemas.openxmlformats.org/officeDocument/2006/relationships/image" Id="rId90" Target="media/rId90.png" /><Relationship Type="http://schemas.openxmlformats.org/officeDocument/2006/relationships/image" Id="rId66" Target="media/rId66.png" /><Relationship Type="http://schemas.openxmlformats.org/officeDocument/2006/relationships/image" Id="rId22" Target="media/rId22.png" /><Relationship Type="http://schemas.openxmlformats.org/officeDocument/2006/relationships/image" Id="rId93" Target="media/rId93.png" /><Relationship Type="http://schemas.openxmlformats.org/officeDocument/2006/relationships/image" Id="rId69" Target="media/rId69.png" /><Relationship Type="http://schemas.openxmlformats.org/officeDocument/2006/relationships/image" Id="rId102" Target="media/rId102.png" /><Relationship Type="http://schemas.openxmlformats.org/officeDocument/2006/relationships/image" Id="rId46" Target="media/rId46.png" /><Relationship Type="http://schemas.openxmlformats.org/officeDocument/2006/relationships/image" Id="rId28" Target="media/rId28.png" /><Relationship Type="http://schemas.openxmlformats.org/officeDocument/2006/relationships/image" Id="rId59" Target="media/rId59.png" /><Relationship Type="http://schemas.openxmlformats.org/officeDocument/2006/relationships/image" Id="rId35" Target="media/rId35.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63" Target="media/rId63.png" /><Relationship Type="http://schemas.openxmlformats.org/officeDocument/2006/relationships/image" Id="rId105" Target="media/rId105.png" /><Relationship Type="http://schemas.openxmlformats.org/officeDocument/2006/relationships/hyperlink" Id="rId117" Target=" https://doi.org/10.1139/f2011-025" TargetMode="External" /><Relationship Type="http://schemas.openxmlformats.org/officeDocument/2006/relationships/hyperlink" Id="rId121" Target="https://doi.org/10.1016/j.fishres.2012.10.012" TargetMode="External" /><Relationship Type="http://schemas.openxmlformats.org/officeDocument/2006/relationships/hyperlink" Id="rId125" Target="https://doi.org/10.1016/j.fishres.2021.105924" TargetMode="External" /><Relationship Type="http://schemas.openxmlformats.org/officeDocument/2006/relationships/hyperlink" Id="rId119" Target="https://doi.org/10.1093/icesjms/fsu198" TargetMode="External" /><Relationship Type="http://schemas.openxmlformats.org/officeDocument/2006/relationships/hyperlink" Id="rId123" Target="https://github.com/nmfs-ost/ss3-source-code/releases" TargetMode="External" /><Relationship Type="http://schemas.openxmlformats.org/officeDocument/2006/relationships/hyperlink" Id="rId20" Target="https://noaa-fisheries-integrated-toolbox.github.io/SS3" TargetMode="External" /><Relationship Type="http://schemas.openxmlformats.org/officeDocument/2006/relationships/hyperlink" Id="rId115" Target="https://www.sciencedirect.com/science/article/pii/S0165783621000874" TargetMode="External" /></Relationships>
</file>

<file path=word/_rels/footnotes.xml.rels><?xml version="1.0" encoding="UTF-8"?><Relationships xmlns="http://schemas.openxmlformats.org/package/2006/relationships"><Relationship Type="http://schemas.openxmlformats.org/officeDocument/2006/relationships/hyperlink" Id="rId117" Target=" https://doi.org/10.1139/f2011-025" TargetMode="External" /><Relationship Type="http://schemas.openxmlformats.org/officeDocument/2006/relationships/hyperlink" Id="rId121" Target="https://doi.org/10.1016/j.fishres.2012.10.012" TargetMode="External" /><Relationship Type="http://schemas.openxmlformats.org/officeDocument/2006/relationships/hyperlink" Id="rId125" Target="https://doi.org/10.1016/j.fishres.2021.105924" TargetMode="External" /><Relationship Type="http://schemas.openxmlformats.org/officeDocument/2006/relationships/hyperlink" Id="rId119" Target="https://doi.org/10.1093/icesjms/fsu198" TargetMode="External" /><Relationship Type="http://schemas.openxmlformats.org/officeDocument/2006/relationships/hyperlink" Id="rId123" Target="https://github.com/nmfs-ost/ss3-source-code/releases" TargetMode="External" /><Relationship Type="http://schemas.openxmlformats.org/officeDocument/2006/relationships/hyperlink" Id="rId20" Target="https://noaa-fisheries-integrated-toolbox.github.io/SS3" TargetMode="External" /><Relationship Type="http://schemas.openxmlformats.org/officeDocument/2006/relationships/hyperlink" Id="rId115" Target="https://www.sciencedirect.com/science/article/pii/S0165783621000874"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2024-09-18T04:05:11Z</dcterms:created>
  <dcterms:modified xsi:type="dcterms:W3CDTF">2024-09-18T04:05:11Z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